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rFonts w:ascii="Aptos" w:hAnsi="Aptos" w:eastAsia="Microsoft YaHei"/>
          <w:color w:val="000000"/>
          <w:sz w:val="19"/>
          <w:lang w:val="en-US" w:eastAsia="zh-CN"/>
        </w:rPr>
        <w:t>AI4LA  Modeling workflow  November 7 2026</w:t>
      </w:r>
    </w:p>
    <w:p>
      <w:pPr>
        <w:pStyle w:val="Title"/>
      </w:pPr>
      <w:r>
        <w:rPr>
          <w:rFonts w:ascii="Aptos" w:hAnsi="Aptos" w:eastAsia="Microsoft YaHei"/>
          <w:color w:val="000000"/>
          <w:lang w:val="en-US" w:eastAsia="zh-CN"/>
        </w:rPr>
        <w:t>Building an Editable Landscape Model</w:t>
        <w:br/>
        <w:t>with Codex and Rhino MCP</w:t>
      </w:r>
    </w:p>
    <w:p>
      <w:pPr>
        <w:pStyle w:val="Subtitle"/>
      </w:pPr>
      <w:r>
        <w:rPr>
          <w:rFonts w:ascii="Aptos" w:hAnsi="Aptos" w:eastAsia="Microsoft YaHei"/>
          <w:color w:val="000000"/>
          <w:lang w:val="en-US" w:eastAsia="zh-CN"/>
        </w:rPr>
        <w:t>A garden workflow from reference image to NURBS terrain</w:t>
      </w:r>
    </w:p>
    <w:p>
      <w:r>
        <w:t>A visual brief became a 40 × 80 m Rhino garden with flowing paths, raised planting islands, and groups of trees. Follow-up instructions added undulating edge seating and rebuilt the terrain as smooth NURBS surfaces. Four Codex turns totaled 59 minutes 58 seconds of active runtime, producing geometry that remains editable.</w:t>
      </w:r>
    </w:p>
    <w:p>
      <w:pPr>
        <w:keepNext/>
        <w:spacing w:line="240" w:lineRule="auto" w:after="80"/>
        <w:jc w:val="center"/>
      </w:pPr>
      <w:r>
        <w:drawing>
          <wp:inline xmlns:a="http://schemas.openxmlformats.org/drawingml/2006/main" xmlns:pic="http://schemas.openxmlformats.org/drawingml/2006/picture">
            <wp:extent cx="5806440" cy="3870960"/>
            <wp:docPr id="1" name="Picture 1" descr="AI rendering of a garden with winding paths, planted mounds, trees, curved wooden seating, and a planted retaining wall."/>
            <wp:cNvGraphicFramePr>
              <a:graphicFrameLocks noChangeAspect="1"/>
            </wp:cNvGraphicFramePr>
            <a:graphic>
              <a:graphicData uri="http://schemas.openxmlformats.org/drawingml/2006/picture">
                <pic:pic>
                  <pic:nvPicPr>
                    <pic:cNvPr id="0" name="final-ai-render.png"/>
                    <pic:cNvPicPr/>
                  </pic:nvPicPr>
                  <pic:blipFill>
                    <a:blip r:embed="rId10"/>
                    <a:stretch>
                      <a:fillRect/>
                    </a:stretch>
                  </pic:blipFill>
                  <pic:spPr>
                    <a:xfrm>
                      <a:off x="0" y="0"/>
                      <a:ext cx="5806440" cy="3870960"/>
                    </a:xfrm>
                    <a:prstGeom prst="rect"/>
                  </pic:spPr>
                </pic:pic>
              </a:graphicData>
            </a:graphic>
          </wp:inline>
        </w:drawing>
      </w:r>
    </w:p>
    <w:p>
      <w:pPr>
        <w:pStyle w:val="Caption"/>
      </w:pPr>
      <w:r>
        <w:t>Figure 1. AI rendering produced separately by the author after modeling. Planting detail, masonry texture, people, and the urban setting extend the visual presentation. Dimensions and object counts come from the Rhino model records.</w:t>
      </w:r>
    </w:p>
    <w:p>
      <w:pPr>
        <w:pStyle w:val="Heading2"/>
      </w:pPr>
      <w:r>
        <w:rPr>
          <w:rFonts w:ascii="Aptos" w:hAnsi="Aptos" w:eastAsia="Microsoft YaHei"/>
          <w:color w:val="000000"/>
          <w:lang w:val="en-US" w:eastAsia="zh-CN"/>
        </w:rPr>
        <w:t>A garden built through specific design decisions</w:t>
      </w:r>
    </w:p>
    <w:p>
      <w:r>
        <w:t>The aim was a sculptural garden with fluid circulation, asymmetrical landforms, and open views beneath trees. The designer supplied the reference image, dimensions, and revision goals. Codex wrote and revised scripts; a Rhino MCP connection executed operations in the active Rhino session.</w:t>
      </w:r>
    </w:p>
    <w:p>
      <w:r>
        <w:t>The final model contains 8 planting islands, 26 trees, 5 edge seats, and 8 inclined wall segments. Saved scripts, parameters, object IDs, and checks make the changes possible to inspect and continue.</w:t>
      </w:r>
    </w:p>
    <w:p>
      <w:r>
        <w:br w:type="page"/>
      </w:r>
    </w:p>
    <w:p>
      <w:pPr>
        <w:pStyle w:val="Heading1"/>
      </w:pPr>
      <w:r>
        <w:rPr>
          <w:rFonts w:ascii="Aptos" w:hAnsi="Aptos" w:eastAsia="Microsoft YaHei"/>
          <w:color w:val="000000"/>
          <w:lang w:val="en-US" w:eastAsia="zh-CN"/>
        </w:rPr>
        <w:t>Recorded runtime and what it includes</w:t>
      </w:r>
    </w:p>
    <w:p>
      <w:r>
        <w:t>The table records four completed Codex turns from this case. A full turn includes task interpretation, script writing, debugging, screenshot review, and export. Durations are rounded to the nearest second.</w:t>
      </w:r>
    </w:p>
    <w:tbl>
      <w:tblPr>
        <w:tblW w:type="auto" w:w="0"/>
        <w:jc w:val="center"/>
        <w:tblLayout w:type="fixed"/>
        <w:tblLook w:firstColumn="1" w:firstRow="1" w:lastColumn="0" w:lastRow="0" w:noHBand="0" w:noVBand="1" w:val="04A0"/>
        <w:tblBorders>
          <w:top w:val="single" w:sz="5" w:color="D9D9D9"/>
          <w:left w:val="single" w:sz="5" w:color="D9D9D9"/>
          <w:bottom w:val="single" w:sz="5" w:color="D9D9D9"/>
          <w:right w:val="single" w:sz="5" w:color="D9D9D9"/>
          <w:insideH w:val="single" w:sz="5" w:color="D9D9D9"/>
          <w:insideV w:val="single" w:sz="5" w:color="D9D9D9"/>
        </w:tblBorders>
      </w:tblPr>
      <w:tblGrid>
        <w:gridCol w:w="3672"/>
        <w:gridCol w:w="2304"/>
        <w:gridCol w:w="2088"/>
        <w:gridCol w:w="792"/>
      </w:tblGrid>
      <w:tr>
        <w:trPr>
          <w:cantSplit/>
          <w:tblHeader/>
        </w:trPr>
        <w:tc>
          <w:tcPr>
            <w:tcW w:type="dxa" w:w="3672"/>
            <w:vAlign w:val="center"/>
            <w:tcMar>
              <w:top w:w="65" w:type="dxa"/>
              <w:bottom w:w="65" w:type="dxa"/>
              <w:left w:w="95" w:type="dxa"/>
              <w:right w:w="95" w:type="dxa"/>
            </w:tcMar>
            <w:shd w:fill="31434A"/>
          </w:tcPr>
          <w:p>
            <w:pPr>
              <w:spacing w:after="0" w:line="300" w:lineRule="exact"/>
              <w:jc w:val="left"/>
            </w:pPr>
            <w:r>
              <w:rPr>
                <w:rFonts w:ascii="Aptos" w:hAnsi="Aptos" w:eastAsia="Microsoft YaHei"/>
                <w:b/>
                <w:color w:val="FFFFFF"/>
                <w:sz w:val="20"/>
                <w:lang w:val="en-US" w:eastAsia="zh-CN"/>
              </w:rPr>
              <w:t>Task</w:t>
            </w:r>
          </w:p>
        </w:tc>
        <w:tc>
          <w:tcPr>
            <w:tcW w:type="dxa" w:w="2304"/>
            <w:vAlign w:val="center"/>
            <w:tcMar>
              <w:top w:w="65" w:type="dxa"/>
              <w:bottom w:w="65" w:type="dxa"/>
              <w:left w:w="95" w:type="dxa"/>
              <w:right w:w="95" w:type="dxa"/>
            </w:tcMar>
            <w:shd w:fill="31434A"/>
          </w:tcPr>
          <w:p>
            <w:pPr>
              <w:spacing w:after="0" w:line="300" w:lineRule="exact"/>
              <w:jc w:val="center"/>
            </w:pPr>
            <w:r>
              <w:rPr>
                <w:rFonts w:ascii="Aptos" w:hAnsi="Aptos" w:eastAsia="Microsoft YaHei"/>
                <w:b/>
                <w:color w:val="FFFFFF"/>
                <w:sz w:val="20"/>
                <w:lang w:val="en-US" w:eastAsia="zh-CN"/>
              </w:rPr>
              <w:t>Codex runtime</w:t>
            </w:r>
          </w:p>
        </w:tc>
        <w:tc>
          <w:tcPr>
            <w:tcW w:type="dxa" w:w="2088"/>
            <w:vAlign w:val="center"/>
            <w:tcMar>
              <w:top w:w="65" w:type="dxa"/>
              <w:bottom w:w="65" w:type="dxa"/>
              <w:left w:w="95" w:type="dxa"/>
              <w:right w:w="95" w:type="dxa"/>
            </w:tcMar>
            <w:shd w:fill="31434A"/>
          </w:tcPr>
          <w:p>
            <w:pPr>
              <w:spacing w:after="0" w:line="300" w:lineRule="exact"/>
              <w:jc w:val="center"/>
            </w:pPr>
            <w:r>
              <w:rPr>
                <w:rFonts w:ascii="Aptos" w:hAnsi="Aptos" w:eastAsia="Microsoft YaHei"/>
                <w:b/>
                <w:color w:val="FFFFFF"/>
                <w:sz w:val="20"/>
                <w:lang w:val="en-US" w:eastAsia="zh-CN"/>
              </w:rPr>
              <w:t>MCP total sec</w:t>
            </w:r>
          </w:p>
        </w:tc>
        <w:tc>
          <w:tcPr>
            <w:tcW w:type="dxa" w:w="792"/>
            <w:vAlign w:val="center"/>
            <w:tcMar>
              <w:top w:w="65" w:type="dxa"/>
              <w:bottom w:w="65" w:type="dxa"/>
              <w:left w:w="95" w:type="dxa"/>
              <w:right w:w="95" w:type="dxa"/>
            </w:tcMar>
            <w:shd w:fill="31434A"/>
          </w:tcPr>
          <w:p>
            <w:pPr>
              <w:spacing w:after="0" w:line="300" w:lineRule="exact"/>
              <w:jc w:val="center"/>
            </w:pPr>
            <w:r>
              <w:rPr>
                <w:rFonts w:ascii="Aptos" w:hAnsi="Aptos" w:eastAsia="Microsoft YaHei"/>
                <w:b/>
                <w:color w:val="FFFFFF"/>
                <w:sz w:val="20"/>
                <w:lang w:val="en-US" w:eastAsia="zh-CN"/>
              </w:rPr>
              <w:t>Calls</w:t>
            </w:r>
          </w:p>
        </w:tc>
      </w:tr>
      <w:tr>
        <w:trPr>
          <w:cantSplit/>
        </w:trPr>
        <w:tc>
          <w:tcPr>
            <w:tcW w:type="dxa" w:w="3672"/>
            <w:vAlign w:val="center"/>
            <w:tcMar>
              <w:top w:w="65" w:type="dxa"/>
              <w:bottom w:w="65" w:type="dxa"/>
              <w:left w:w="95" w:type="dxa"/>
              <w:right w:w="95" w:type="dxa"/>
            </w:tcMar>
            <w:shd w:fill="FFFFFF"/>
          </w:tcPr>
          <w:p>
            <w:pPr>
              <w:spacing w:after="0" w:line="300" w:lineRule="exact"/>
              <w:jc w:val="left"/>
            </w:pPr>
            <w:r>
              <w:rPr>
                <w:rFonts w:ascii="Aptos" w:hAnsi="Aptos" w:eastAsia="Microsoft YaHei"/>
                <w:b w:val="0"/>
                <w:color w:val="000000"/>
                <w:sz w:val="20"/>
                <w:lang w:val="en-US" w:eastAsia="zh-CN"/>
              </w:rPr>
              <w:t>Inspect the Rhino environment</w:t>
            </w:r>
          </w:p>
        </w:tc>
        <w:tc>
          <w:tcPr>
            <w:tcW w:type="dxa" w:w="2304"/>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19 sec</w:t>
            </w:r>
          </w:p>
        </w:tc>
        <w:tc>
          <w:tcPr>
            <w:tcW w:type="dxa" w:w="2088"/>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0.22</w:t>
            </w:r>
          </w:p>
        </w:tc>
        <w:tc>
          <w:tcPr>
            <w:tcW w:type="dxa" w:w="792"/>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3</w:t>
            </w:r>
          </w:p>
        </w:tc>
      </w:tr>
      <w:tr>
        <w:trPr>
          <w:cantSplit/>
        </w:trPr>
        <w:tc>
          <w:tcPr>
            <w:tcW w:type="dxa" w:w="3672"/>
            <w:vAlign w:val="center"/>
            <w:tcMar>
              <w:top w:w="65" w:type="dxa"/>
              <w:bottom w:w="65" w:type="dxa"/>
              <w:left w:w="95" w:type="dxa"/>
              <w:right w:w="95" w:type="dxa"/>
            </w:tcMar>
            <w:shd w:fill="F3F5F4"/>
          </w:tcPr>
          <w:p>
            <w:pPr>
              <w:spacing w:after="0" w:line="300" w:lineRule="exact"/>
              <w:jc w:val="left"/>
            </w:pPr>
            <w:r>
              <w:rPr>
                <w:rFonts w:ascii="Aptos" w:hAnsi="Aptos" w:eastAsia="Microsoft YaHei"/>
                <w:b w:val="0"/>
                <w:color w:val="000000"/>
                <w:sz w:val="20"/>
                <w:lang w:val="en-US" w:eastAsia="zh-CN"/>
              </w:rPr>
              <w:t>Build the initial garden</w:t>
            </w:r>
          </w:p>
        </w:tc>
        <w:tc>
          <w:tcPr>
            <w:tcW w:type="dxa" w:w="2304"/>
            <w:vAlign w:val="center"/>
            <w:tcMar>
              <w:top w:w="65" w:type="dxa"/>
              <w:bottom w:w="65" w:type="dxa"/>
              <w:left w:w="95" w:type="dxa"/>
              <w:right w:w="95" w:type="dxa"/>
            </w:tcMar>
            <w:shd w:fill="F3F5F4"/>
          </w:tcPr>
          <w:p>
            <w:pPr>
              <w:spacing w:after="0" w:line="300" w:lineRule="exact"/>
              <w:jc w:val="center"/>
            </w:pPr>
            <w:r>
              <w:rPr>
                <w:rFonts w:ascii="Aptos" w:hAnsi="Aptos" w:eastAsia="Microsoft YaHei"/>
                <w:b w:val="0"/>
                <w:color w:val="000000"/>
                <w:sz w:val="20"/>
                <w:lang w:val="en-US" w:eastAsia="zh-CN"/>
              </w:rPr>
              <w:t>17 min 07 sec</w:t>
            </w:r>
          </w:p>
        </w:tc>
        <w:tc>
          <w:tcPr>
            <w:tcW w:type="dxa" w:w="2088"/>
            <w:vAlign w:val="center"/>
            <w:tcMar>
              <w:top w:w="65" w:type="dxa"/>
              <w:bottom w:w="65" w:type="dxa"/>
              <w:left w:w="95" w:type="dxa"/>
              <w:right w:w="95" w:type="dxa"/>
            </w:tcMar>
            <w:shd w:fill="F3F5F4"/>
          </w:tcPr>
          <w:p>
            <w:pPr>
              <w:spacing w:after="0" w:line="300" w:lineRule="exact"/>
              <w:jc w:val="center"/>
            </w:pPr>
            <w:r>
              <w:rPr>
                <w:rFonts w:ascii="Aptos" w:hAnsi="Aptos" w:eastAsia="Microsoft YaHei"/>
                <w:b w:val="0"/>
                <w:color w:val="000000"/>
                <w:sz w:val="20"/>
                <w:lang w:val="en-US" w:eastAsia="zh-CN"/>
              </w:rPr>
              <w:t>13.23</w:t>
            </w:r>
          </w:p>
        </w:tc>
        <w:tc>
          <w:tcPr>
            <w:tcW w:type="dxa" w:w="792"/>
            <w:vAlign w:val="center"/>
            <w:tcMar>
              <w:top w:w="65" w:type="dxa"/>
              <w:bottom w:w="65" w:type="dxa"/>
              <w:left w:w="95" w:type="dxa"/>
              <w:right w:w="95" w:type="dxa"/>
            </w:tcMar>
            <w:shd w:fill="F3F5F4"/>
          </w:tcPr>
          <w:p>
            <w:pPr>
              <w:spacing w:after="0" w:line="300" w:lineRule="exact"/>
              <w:jc w:val="center"/>
            </w:pPr>
            <w:r>
              <w:rPr>
                <w:rFonts w:ascii="Aptos" w:hAnsi="Aptos" w:eastAsia="Microsoft YaHei"/>
                <w:b w:val="0"/>
                <w:color w:val="000000"/>
                <w:sz w:val="20"/>
                <w:lang w:val="en-US" w:eastAsia="zh-CN"/>
              </w:rPr>
              <w:t>46</w:t>
            </w:r>
          </w:p>
        </w:tc>
      </w:tr>
      <w:tr>
        <w:trPr>
          <w:cantSplit/>
        </w:trPr>
        <w:tc>
          <w:tcPr>
            <w:tcW w:type="dxa" w:w="3672"/>
            <w:vAlign w:val="center"/>
            <w:tcMar>
              <w:top w:w="65" w:type="dxa"/>
              <w:bottom w:w="65" w:type="dxa"/>
              <w:left w:w="95" w:type="dxa"/>
              <w:right w:w="95" w:type="dxa"/>
            </w:tcMar>
            <w:shd w:fill="FFFFFF"/>
          </w:tcPr>
          <w:p>
            <w:pPr>
              <w:spacing w:after="0" w:line="300" w:lineRule="exact"/>
              <w:jc w:val="left"/>
            </w:pPr>
            <w:r>
              <w:rPr>
                <w:rFonts w:ascii="Aptos" w:hAnsi="Aptos" w:eastAsia="Microsoft YaHei"/>
                <w:b w:val="0"/>
                <w:color w:val="000000"/>
                <w:sz w:val="20"/>
                <w:lang w:val="en-US" w:eastAsia="zh-CN"/>
              </w:rPr>
              <w:t>Add undulating edge seating</w:t>
            </w:r>
          </w:p>
        </w:tc>
        <w:tc>
          <w:tcPr>
            <w:tcW w:type="dxa" w:w="2304"/>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12 min 01 sec</w:t>
            </w:r>
          </w:p>
        </w:tc>
        <w:tc>
          <w:tcPr>
            <w:tcW w:type="dxa" w:w="2088"/>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13.67</w:t>
            </w:r>
          </w:p>
        </w:tc>
        <w:tc>
          <w:tcPr>
            <w:tcW w:type="dxa" w:w="792"/>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28</w:t>
            </w:r>
          </w:p>
        </w:tc>
      </w:tr>
      <w:tr>
        <w:trPr>
          <w:cantSplit/>
        </w:trPr>
        <w:tc>
          <w:tcPr>
            <w:tcW w:type="dxa" w:w="3672"/>
            <w:vAlign w:val="center"/>
            <w:tcMar>
              <w:top w:w="65" w:type="dxa"/>
              <w:bottom w:w="65" w:type="dxa"/>
              <w:left w:w="95" w:type="dxa"/>
              <w:right w:w="95" w:type="dxa"/>
            </w:tcMar>
            <w:shd w:fill="F3F5F4"/>
          </w:tcPr>
          <w:p>
            <w:pPr>
              <w:spacing w:after="0" w:line="300" w:lineRule="exact"/>
              <w:jc w:val="left"/>
            </w:pPr>
            <w:r>
              <w:rPr>
                <w:rFonts w:ascii="Aptos" w:hAnsi="Aptos" w:eastAsia="Microsoft YaHei"/>
                <w:b w:val="0"/>
                <w:color w:val="000000"/>
                <w:sz w:val="20"/>
                <w:lang w:val="en-US" w:eastAsia="zh-CN"/>
              </w:rPr>
              <w:t>Vary and rebuild the terrain</w:t>
            </w:r>
          </w:p>
        </w:tc>
        <w:tc>
          <w:tcPr>
            <w:tcW w:type="dxa" w:w="2304"/>
            <w:vAlign w:val="center"/>
            <w:tcMar>
              <w:top w:w="65" w:type="dxa"/>
              <w:bottom w:w="65" w:type="dxa"/>
              <w:left w:w="95" w:type="dxa"/>
              <w:right w:w="95" w:type="dxa"/>
            </w:tcMar>
            <w:shd w:fill="F3F5F4"/>
          </w:tcPr>
          <w:p>
            <w:pPr>
              <w:spacing w:after="0" w:line="300" w:lineRule="exact"/>
              <w:jc w:val="center"/>
            </w:pPr>
            <w:r>
              <w:rPr>
                <w:rFonts w:ascii="Aptos" w:hAnsi="Aptos" w:eastAsia="Microsoft YaHei"/>
                <w:b w:val="0"/>
                <w:color w:val="000000"/>
                <w:sz w:val="20"/>
                <w:lang w:val="en-US" w:eastAsia="zh-CN"/>
              </w:rPr>
              <w:t>30 min 31 sec</w:t>
            </w:r>
          </w:p>
        </w:tc>
        <w:tc>
          <w:tcPr>
            <w:tcW w:type="dxa" w:w="2088"/>
            <w:vAlign w:val="center"/>
            <w:tcMar>
              <w:top w:w="65" w:type="dxa"/>
              <w:bottom w:w="65" w:type="dxa"/>
              <w:left w:w="95" w:type="dxa"/>
              <w:right w:w="95" w:type="dxa"/>
            </w:tcMar>
            <w:shd w:fill="F3F5F4"/>
          </w:tcPr>
          <w:p>
            <w:pPr>
              <w:spacing w:after="0" w:line="300" w:lineRule="exact"/>
              <w:jc w:val="center"/>
            </w:pPr>
            <w:r>
              <w:rPr>
                <w:rFonts w:ascii="Aptos" w:hAnsi="Aptos" w:eastAsia="Microsoft YaHei"/>
                <w:b w:val="0"/>
                <w:color w:val="000000"/>
                <w:sz w:val="20"/>
                <w:lang w:val="en-US" w:eastAsia="zh-CN"/>
              </w:rPr>
              <w:t>91.36</w:t>
            </w:r>
          </w:p>
        </w:tc>
        <w:tc>
          <w:tcPr>
            <w:tcW w:type="dxa" w:w="792"/>
            <w:vAlign w:val="center"/>
            <w:tcMar>
              <w:top w:w="65" w:type="dxa"/>
              <w:bottom w:w="65" w:type="dxa"/>
              <w:left w:w="95" w:type="dxa"/>
              <w:right w:w="95" w:type="dxa"/>
            </w:tcMar>
            <w:shd w:fill="F3F5F4"/>
          </w:tcPr>
          <w:p>
            <w:pPr>
              <w:spacing w:after="0" w:line="300" w:lineRule="exact"/>
              <w:jc w:val="center"/>
            </w:pPr>
            <w:r>
              <w:rPr>
                <w:rFonts w:ascii="Aptos" w:hAnsi="Aptos" w:eastAsia="Microsoft YaHei"/>
                <w:b w:val="0"/>
                <w:color w:val="000000"/>
                <w:sz w:val="20"/>
                <w:lang w:val="en-US" w:eastAsia="zh-CN"/>
              </w:rPr>
              <w:t>40</w:t>
            </w:r>
          </w:p>
        </w:tc>
      </w:tr>
      <w:tr>
        <w:trPr>
          <w:cantSplit/>
        </w:trPr>
        <w:tc>
          <w:tcPr>
            <w:tcW w:type="dxa" w:w="3672"/>
            <w:vAlign w:val="center"/>
            <w:tcMar>
              <w:top w:w="65" w:type="dxa"/>
              <w:bottom w:w="65" w:type="dxa"/>
              <w:left w:w="95" w:type="dxa"/>
              <w:right w:w="95" w:type="dxa"/>
            </w:tcMar>
            <w:shd w:fill="FFFFFF"/>
          </w:tcPr>
          <w:p>
            <w:pPr>
              <w:spacing w:after="0" w:line="300" w:lineRule="exact"/>
              <w:jc w:val="left"/>
            </w:pPr>
            <w:r>
              <w:rPr>
                <w:rFonts w:ascii="Aptos" w:hAnsi="Aptos" w:eastAsia="Microsoft YaHei"/>
                <w:b w:val="0"/>
                <w:color w:val="000000"/>
                <w:sz w:val="20"/>
                <w:lang w:val="en-US" w:eastAsia="zh-CN"/>
              </w:rPr>
              <w:t>Total</w:t>
            </w:r>
          </w:p>
        </w:tc>
        <w:tc>
          <w:tcPr>
            <w:tcW w:type="dxa" w:w="2304"/>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59 min 58 sec</w:t>
            </w:r>
          </w:p>
        </w:tc>
        <w:tc>
          <w:tcPr>
            <w:tcW w:type="dxa" w:w="2088"/>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118.47</w:t>
            </w:r>
          </w:p>
        </w:tc>
        <w:tc>
          <w:tcPr>
            <w:tcW w:type="dxa" w:w="792"/>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117</w:t>
            </w:r>
          </w:p>
        </w:tc>
      </w:tr>
    </w:tbl>
    <w:p>
      <w:pPr>
        <w:spacing w:after="0" w:line="80" w:lineRule="exact"/>
      </w:pPr>
      <w:r/>
    </w:p>
    <w:p>
      <w:r>
        <w:t>The MCP total adds the recorded duration of queries, script execution, captures, saves, and retries. It is not pure geometry computation time. The 59 min 58 sec total adds active turns and excludes gaps between them, the later AI rendering, and article preparation. No manual modeling benchmark was recorded.</w:t>
      </w:r>
    </w:p>
    <w:p>
      <w:pPr>
        <w:pStyle w:val="Heading2"/>
      </w:pPr>
      <w:r>
        <w:rPr>
          <w:rFonts w:ascii="Aptos" w:hAnsi="Aptos" w:eastAsia="Microsoft YaHei"/>
          <w:color w:val="000000"/>
          <w:lang w:val="en-US" w:eastAsia="zh-CN"/>
        </w:rPr>
        <w:t>How Codex and Rhino MCP worked together</w:t>
      </w:r>
    </w:p>
    <w:p>
      <w:r>
        <w:t>MCP means Model Context Protocol. It lets AI applications use tools provided by other systems. [1][2] The connection used here exposed environment queries, Python execution, viewport captures, and model saving. Available tools depend on the connected server.</w:t>
      </w:r>
    </w:p>
    <w:p>
      <w:r>
        <w:t>Codex created geometry through Python and RhinoCommon; this case did not build a Grasshopper definition. Rhino returned geometry, check results, and screenshots that informed the next revision.</w:t>
      </w:r>
    </w:p>
    <w:p>
      <w:pPr>
        <w:pStyle w:val="Heading1"/>
      </w:pPr>
      <w:r>
        <w:rPr>
          <w:rFonts w:ascii="Aptos" w:hAnsi="Aptos" w:eastAsia="Microsoft YaHei"/>
          <w:color w:val="000000"/>
          <w:lang w:val="en-US" w:eastAsia="zh-CN"/>
        </w:rPr>
        <w:t>Step 1 Inspect the Rhino environment</w:t>
      </w:r>
    </w:p>
    <w:p>
      <w:pPr>
        <w:spacing w:after="200"/>
      </w:pPr>
      <w:r>
        <w:rPr>
          <w:rFonts w:ascii="Aptos" w:hAnsi="Aptos" w:eastAsia="Microsoft YaHei"/>
          <w:b/>
          <w:color w:val="000000"/>
          <w:sz w:val="20"/>
          <w:lang w:val="en-US" w:eastAsia="zh-CN"/>
        </w:rPr>
        <w:t>Codex runtime 19 sec    Rhino MCP 0.22 sec across 3 calls</w:t>
      </w:r>
    </w:p>
    <w:p>
      <w:pPr>
        <w:spacing w:after="80"/>
      </w:pPr>
      <w:r>
        <w:rPr>
          <w:b/>
        </w:rPr>
        <w:t>Brief for this step</w:t>
      </w:r>
    </w:p>
    <w:p>
      <w:pPr>
        <w:pStyle w:val="Prompt"/>
      </w:pPr>
      <w:r>
        <w:t>Read the current Rhino working environment.</w:t>
      </w:r>
    </w:p>
    <w:p>
      <w:r>
        <w:t>The first turn checked the connected session, document, units, layers, selection, and views. Rhino 8.36 was open with an empty document, millimeter units, and an absolute tolerance of 0.01 mm.</w:t>
      </w:r>
    </w:p>
    <w:p>
      <w:r>
        <w:t>That established the scale for later work: a 40 × 80 m site needed a footprint of about 40000 × 80000 mm in the active document.</w:t>
      </w:r>
    </w:p>
    <w:p>
      <w:r>
        <w:br w:type="page"/>
      </w:r>
    </w:p>
    <w:p>
      <w:pPr>
        <w:pStyle w:val="Heading1"/>
      </w:pPr>
      <w:r>
        <w:rPr>
          <w:rFonts w:ascii="Aptos" w:hAnsi="Aptos" w:eastAsia="Microsoft YaHei"/>
          <w:color w:val="000000"/>
          <w:lang w:val="en-US" w:eastAsia="zh-CN"/>
        </w:rPr>
        <w:t>Step 2 Build the garden from a visual brief</w:t>
      </w:r>
    </w:p>
    <w:p>
      <w:pPr>
        <w:spacing w:after="200"/>
      </w:pPr>
      <w:r>
        <w:rPr>
          <w:rFonts w:ascii="Aptos" w:hAnsi="Aptos" w:eastAsia="Microsoft YaHei"/>
          <w:b/>
          <w:color w:val="000000"/>
          <w:sz w:val="20"/>
          <w:lang w:val="en-US" w:eastAsia="zh-CN"/>
        </w:rPr>
        <w:t>Codex runtime 17 min 07 sec    Rhino MCP 13.23 sec across 46 calls</w:t>
      </w:r>
    </w:p>
    <w:p>
      <w:pPr>
        <w:spacing w:after="80"/>
      </w:pPr>
      <w:r>
        <w:rPr>
          <w:b/>
        </w:rPr>
        <w:t>Brief for this step</w:t>
      </w:r>
    </w:p>
    <w:p>
      <w:pPr>
        <w:pStyle w:val="Prompt"/>
      </w:pPr>
      <w:r>
        <w:t>Use the reference image to guide spatial organization and flowing curves. Build a 40 × 80 m garden, checking the plan before adding terrain, paving, trees, materials, and views. Keep Rhino geometry editable and retain layers, IDs, and scripts.</w:t>
      </w:r>
    </w:p>
    <w:p>
      <w:r>
        <w:t>The reference became a set of modeling rules: a continuous winding route, islands of different proportions with tapered ends, and off-center terrain peaks. Trees were grouped with open areas between them. Plan checks came first so that an island could not block the main route.</w:t>
      </w:r>
    </w:p>
    <w:p>
      <w:pPr>
        <w:keepNext/>
        <w:spacing w:line="240" w:lineRule="auto" w:after="80"/>
        <w:jc w:val="center"/>
      </w:pPr>
      <w:r>
        <w:drawing>
          <wp:inline xmlns:a="http://schemas.openxmlformats.org/drawingml/2006/main" xmlns:pic="http://schemas.openxmlformats.org/drawingml/2006/picture">
            <wp:extent cx="5440680" cy="3853815"/>
            <wp:docPr id="2" name="Picture 2" descr="Rhino overview showing eight curved planting islands separated by continuous pale paths, with groups of simplified trees."/>
            <wp:cNvGraphicFramePr>
              <a:graphicFrameLocks noChangeAspect="1"/>
            </wp:cNvGraphicFramePr>
            <a:graphic>
              <a:graphicData uri="http://schemas.openxmlformats.org/drawingml/2006/picture">
                <pic:pic>
                  <pic:nvPicPr>
                    <pic:cNvPr id="0" name="rhino-initial-model.png"/>
                    <pic:cNvPicPr/>
                  </pic:nvPicPr>
                  <pic:blipFill>
                    <a:blip r:embed="rId11"/>
                    <a:stretch>
                      <a:fillRect/>
                    </a:stretch>
                  </pic:blipFill>
                  <pic:spPr>
                    <a:xfrm>
                      <a:off x="0" y="0"/>
                      <a:ext cx="5440680" cy="3853815"/>
                    </a:xfrm>
                    <a:prstGeom prst="rect"/>
                  </pic:spPr>
                </pic:pic>
              </a:graphicData>
            </a:graphic>
          </wp:inline>
        </w:drawing>
      </w:r>
    </w:p>
    <w:p>
      <w:pPr>
        <w:pStyle w:val="Caption"/>
      </w:pPr>
      <w:r>
        <w:t>Figure 2. Rhino overview of the first model. Terrain was mesh geometry at this stage; paving used Brep surfaces (boundary representation), and trees were reusable block instances.</w:t>
      </w:r>
    </w:p>
    <w:p>
      <w:r>
        <w:t>The plan produced 8 nonintersecting islands and a minimum main-route clearance of about 2.93 m. Initial terrain peaks ranged from 0.48 to 1.50 m. Pale gray paving connected around the islands, with solid dark edging at higher boundaries.</w:t>
      </w:r>
    </w:p>
    <w:p>
      <w:r>
        <w:t>The 26 trees used 4 block prototypes with trunks, major branches, and simplified crowns. Heights ranged from 6.18 to 9.58 m. Ray checks placed tree bases on the groundcover surface, which used a limited range of greens.</w:t>
      </w:r>
    </w:p>
    <w:p>
      <w:r>
        <w:t>Parameters were saved with a fixed random seed of 240611. Islands were numbered I01 to I08, and each tree retained its island assignment. Objects were organized under GardenDemo. Plan, terrain, planting, materials, and view work all belong to this recorded turn.</w:t>
      </w:r>
    </w:p>
    <w:p>
      <w:r>
        <w:br w:type="page"/>
      </w:r>
    </w:p>
    <w:p>
      <w:pPr>
        <w:pStyle w:val="Heading1"/>
      </w:pPr>
      <w:r>
        <w:rPr>
          <w:rFonts w:ascii="Aptos" w:hAnsi="Aptos" w:eastAsia="Microsoft YaHei"/>
          <w:color w:val="000000"/>
          <w:lang w:val="en-US" w:eastAsia="zh-CN"/>
        </w:rPr>
        <w:t>Step 3 Add undulating edge seating</w:t>
      </w:r>
    </w:p>
    <w:p>
      <w:pPr>
        <w:spacing w:after="200"/>
      </w:pPr>
      <w:r>
        <w:rPr>
          <w:rFonts w:ascii="Aptos" w:hAnsi="Aptos" w:eastAsia="Microsoft YaHei"/>
          <w:b/>
          <w:color w:val="000000"/>
          <w:sz w:val="20"/>
          <w:lang w:val="en-US" w:eastAsia="zh-CN"/>
        </w:rPr>
        <w:t>Codex runtime 12 min 01 sec    Rhino MCP 13.67 sec across 28 calls</w:t>
      </w:r>
    </w:p>
    <w:p>
      <w:pPr>
        <w:spacing w:after="80"/>
      </w:pPr>
      <w:r>
        <w:rPr>
          <w:b/>
        </w:rPr>
        <w:t>Brief for this step</w:t>
      </w:r>
    </w:p>
    <w:p>
      <w:pPr>
        <w:pStyle w:val="Prompt"/>
      </w:pPr>
      <w:r>
        <w:t>Place seats along selected path and terrain edges. Both ends should meet path level, with a peak of about 60 to 80 cm between them. Allow different rising and falling curves for a natural, asymmetrical profile.</w:t>
      </w:r>
    </w:p>
    <w:p>
      <w:r>
        <w:t>Codex read the existing island boundaries and selected wider path edges for seating. Each seat had separate controls for height, peak position, and the rise and fall on either side. This produced varied profiles along the garden edge.</w:t>
      </w:r>
    </w:p>
    <w:p>
      <w:pPr>
        <w:keepNext/>
        <w:spacing w:line="240" w:lineRule="auto" w:after="80"/>
        <w:jc w:val="center"/>
      </w:pPr>
      <w:r>
        <w:drawing>
          <wp:inline xmlns:a="http://schemas.openxmlformats.org/drawingml/2006/main" xmlns:pic="http://schemas.openxmlformats.org/drawingml/2006/picture">
            <wp:extent cx="5623560" cy="3749040"/>
            <wp:docPr id="3" name="Picture 3" descr="A warm colored curved seat follows a planting edge, rising above a dark support and returning to path level at both ends."/>
            <wp:cNvGraphicFramePr>
              <a:graphicFrameLocks noChangeAspect="1"/>
            </wp:cNvGraphicFramePr>
            <a:graphic>
              <a:graphicData uri="http://schemas.openxmlformats.org/drawingml/2006/picture">
                <pic:pic>
                  <pic:nvPicPr>
                    <pic:cNvPr id="0" name="rhino-edge-seating.png"/>
                    <pic:cNvPicPr/>
                  </pic:nvPicPr>
                  <pic:blipFill>
                    <a:blip r:embed="rId12"/>
                    <a:stretch>
                      <a:fillRect/>
                    </a:stretch>
                  </pic:blipFill>
                  <pic:spPr>
                    <a:xfrm>
                      <a:off x="0" y="0"/>
                      <a:ext cx="5623560" cy="3749040"/>
                    </a:xfrm>
                    <a:prstGeom prst="rect"/>
                  </pic:spPr>
                </pic:pic>
              </a:graphicData>
            </a:graphic>
          </wp:inline>
        </w:drawing>
      </w:r>
    </w:p>
    <w:p>
      <w:pPr>
        <w:pStyle w:val="Caption"/>
      </w:pPr>
      <w:r>
        <w:t>Figure 3. The S02 seat rises and falls along the island edge. Its peak is offset from the length midpoint. The seat top and supporting body are separate closed NURBS Brep solids.</w:t>
      </w:r>
    </w:p>
    <w:p>
      <w:r>
        <w:t>Five seats were added, about 7–9 m long, with maximum widths of 0.76–0.86 m. Peak heights were 68, 78, 72, 76, and 64 cm. Both ends returned to path level. These are sculptural edge forms whose seating details can be developed further.</w:t>
      </w:r>
    </w:p>
    <w:p>
      <w:r>
        <w:t>Paving was cut out beneath the seats to resolve overlapping surfaces at their tapered ends. A continuous main passage of at least 2.8 m remained; the smallest remaining clearance on the outer side routes was about 2.69 m.</w:t>
      </w:r>
    </w:p>
    <w:p>
      <w:r>
        <w:t>Seat tops, supports, and guides were separated under GardenDemo::Seating. All 10 solid components were valid and closed. Terrain and tree geometry were preserved during this turn.</w:t>
      </w:r>
    </w:p>
    <w:p>
      <w:r>
        <w:br w:type="page"/>
      </w:r>
    </w:p>
    <w:p>
      <w:pPr>
        <w:pStyle w:val="Heading1"/>
      </w:pPr>
      <w:r>
        <w:rPr>
          <w:rFonts w:ascii="Aptos" w:hAnsi="Aptos" w:eastAsia="Microsoft YaHei"/>
          <w:color w:val="000000"/>
          <w:lang w:val="en-US" w:eastAsia="zh-CN"/>
        </w:rPr>
        <w:t>Step 4 Vary the terrain and rebuild it as NURBS</w:t>
      </w:r>
    </w:p>
    <w:p>
      <w:pPr>
        <w:spacing w:after="200"/>
      </w:pPr>
      <w:r>
        <w:rPr>
          <w:rFonts w:ascii="Aptos" w:hAnsi="Aptos" w:eastAsia="Microsoft YaHei"/>
          <w:b/>
          <w:color w:val="000000"/>
          <w:sz w:val="20"/>
          <w:lang w:val="en-US" w:eastAsia="zh-CN"/>
        </w:rPr>
        <w:t>Codex runtime 30 min 31 sec    Rhino MCP 91.36 sec across 40 calls</w:t>
      </w:r>
    </w:p>
    <w:p>
      <w:pPr>
        <w:spacing w:after="80"/>
      </w:pPr>
      <w:r>
        <w:rPr>
          <w:b/>
        </w:rPr>
        <w:t>Brief for this step</w:t>
      </w:r>
    </w:p>
    <w:p>
      <w:pPr>
        <w:pStyle w:val="Prompt"/>
      </w:pPr>
      <w:r>
        <w:t>Vary the heights of the planting islands. Where smaller, taller islands have steep edges, add inclined retaining walls that follow the slope and lean inward. Rebuild the terrain as smooth, editable NURBS surfaces.</w:t>
      </w:r>
    </w:p>
    <w:p>
      <w:r>
        <w:t>This turn changed both height and geometry type. New peaks ranged from 0.55 to 2.10 m: some islands rose while others became lower. Existing plan boundaries, paths, and seating positions were retained.</w:t>
      </w:r>
    </w:p>
    <w:p>
      <w:pPr>
        <w:keepNext/>
        <w:spacing w:line="240" w:lineRule="auto" w:after="80"/>
        <w:jc w:val="center"/>
      </w:pPr>
      <w:r>
        <w:drawing>
          <wp:inline xmlns:a="http://schemas.openxmlformats.org/drawingml/2006/main" xmlns:pic="http://schemas.openxmlformats.org/drawingml/2006/picture">
            <wp:extent cx="5303520" cy="3535680"/>
            <wp:docPr id="4" name="Picture 4" descr="A gray inclined retaining wall follows a curving path and slopes inward to meet smooth green terrain with trees above."/>
            <wp:cNvGraphicFramePr>
              <a:graphicFrameLocks noChangeAspect="1"/>
            </wp:cNvGraphicFramePr>
            <a:graphic>
              <a:graphicData uri="http://schemas.openxmlformats.org/drawingml/2006/picture">
                <pic:pic>
                  <pic:nvPicPr>
                    <pic:cNvPr id="0" name="rhino-inclined-wall.png"/>
                    <pic:cNvPicPr/>
                  </pic:nvPicPr>
                  <pic:blipFill>
                    <a:blip r:embed="rId13"/>
                    <a:stretch>
                      <a:fillRect/>
                    </a:stretch>
                  </pic:blipFill>
                  <pic:spPr>
                    <a:xfrm>
                      <a:off x="0" y="0"/>
                      <a:ext cx="5303520" cy="3535680"/>
                    </a:xfrm>
                    <a:prstGeom prst="rect"/>
                  </pic:spPr>
                </pic:pic>
              </a:graphicData>
            </a:graphic>
          </wp:inline>
        </w:drawing>
      </w:r>
    </w:p>
    <w:p>
      <w:pPr>
        <w:pStyle w:val="Caption"/>
      </w:pPr>
      <w:r>
        <w:t>Figure 4. An inclined wall at I06 rises inward from the path toward the planting island. Its curved alignment and changing height connect it to the landform.</w:t>
      </w:r>
    </w:p>
    <w:p>
      <w:r>
        <w:t>Each main landform became a bicubic NURBS surface with a 19 × 27 control net. NURBS uses control points, degrees, and knots to define editable curves and surfaces. [3] Main surfaces were internally C2 continuous, with continuous second derivatives; toe transitions and walls were separate geometry.</w:t>
      </w:r>
    </w:p>
    <w:p>
      <w:r>
        <w:t>Eight solid inclined wall segments were created at steeper edges of I02, I04, and I06. Wall angles were about 27.74°–37.03° from horizontal. The 28° trigger was a modeling threshold; no soil parameters were supplied to establish an engineering angle of repose.</w:t>
      </w:r>
    </w:p>
    <w:p>
      <w:r>
        <w:t>Trimming, closed outlines, and transition matching required several trials. The last successful build call took about 20.31 sec; the full turn took 30 min 31 sec. These measure different parts of the work.</w:t>
      </w:r>
    </w:p>
    <w:p>
      <w:r>
        <w:br w:type="page"/>
      </w:r>
    </w:p>
    <w:p>
      <w:pPr>
        <w:pStyle w:val="Heading1"/>
      </w:pPr>
      <w:r>
        <w:rPr>
          <w:rFonts w:ascii="Aptos" w:hAnsi="Aptos" w:eastAsia="Microsoft YaHei"/>
          <w:color w:val="000000"/>
          <w:lang w:val="en-US" w:eastAsia="zh-CN"/>
        </w:rPr>
        <w:t>Check the changes against the geometry</w:t>
      </w:r>
    </w:p>
    <w:p>
      <w:r>
        <w:t>After changing elevations, Codex placed all 26 tree bases on the new surfaces, preserving their plan positions, prototypes, and scales. The peak-height comparison makes the requested variation explicit.</w:t>
      </w:r>
    </w:p>
    <w:tbl>
      <w:tblPr>
        <w:tblW w:type="auto" w:w="0"/>
        <w:jc w:val="center"/>
        <w:tblLayout w:type="fixed"/>
        <w:tblLook w:firstColumn="1" w:firstRow="1" w:lastColumn="0" w:lastRow="0" w:noHBand="0" w:noVBand="1" w:val="04A0"/>
        <w:tblBorders>
          <w:top w:val="single" w:sz="5" w:color="D9D9D9"/>
          <w:left w:val="single" w:sz="5" w:color="D9D9D9"/>
          <w:bottom w:val="single" w:sz="5" w:color="D9D9D9"/>
          <w:right w:val="single" w:sz="5" w:color="D9D9D9"/>
          <w:insideH w:val="single" w:sz="5" w:color="D9D9D9"/>
          <w:insideV w:val="single" w:sz="5" w:color="D9D9D9"/>
        </w:tblBorders>
      </w:tblPr>
      <w:tblGrid>
        <w:gridCol w:w="2160"/>
        <w:gridCol w:w="3672"/>
        <w:gridCol w:w="3672"/>
      </w:tblGrid>
      <w:tr>
        <w:trPr>
          <w:cantSplit/>
          <w:tblHeader/>
        </w:trPr>
        <w:tc>
          <w:tcPr>
            <w:tcW w:type="dxa" w:w="2160"/>
            <w:vAlign w:val="center"/>
            <w:tcMar>
              <w:top w:w="65" w:type="dxa"/>
              <w:bottom w:w="65" w:type="dxa"/>
              <w:left w:w="95" w:type="dxa"/>
              <w:right w:w="95" w:type="dxa"/>
            </w:tcMar>
            <w:shd w:fill="31434A"/>
          </w:tcPr>
          <w:p>
            <w:pPr>
              <w:spacing w:after="0" w:line="300" w:lineRule="exact"/>
              <w:jc w:val="left"/>
            </w:pPr>
            <w:r>
              <w:rPr>
                <w:rFonts w:ascii="Aptos" w:hAnsi="Aptos" w:eastAsia="Microsoft YaHei"/>
                <w:b/>
                <w:color w:val="FFFFFF"/>
                <w:sz w:val="20"/>
                <w:lang w:val="en-US" w:eastAsia="zh-CN"/>
              </w:rPr>
              <w:t>Island ID</w:t>
            </w:r>
          </w:p>
        </w:tc>
        <w:tc>
          <w:tcPr>
            <w:tcW w:type="dxa" w:w="3672"/>
            <w:vAlign w:val="center"/>
            <w:tcMar>
              <w:top w:w="65" w:type="dxa"/>
              <w:bottom w:w="65" w:type="dxa"/>
              <w:left w:w="95" w:type="dxa"/>
              <w:right w:w="95" w:type="dxa"/>
            </w:tcMar>
            <w:shd w:fill="31434A"/>
          </w:tcPr>
          <w:p>
            <w:pPr>
              <w:spacing w:after="0" w:line="300" w:lineRule="exact"/>
              <w:jc w:val="center"/>
            </w:pPr>
            <w:r>
              <w:rPr>
                <w:rFonts w:ascii="Aptos" w:hAnsi="Aptos" w:eastAsia="Microsoft YaHei"/>
                <w:b/>
                <w:color w:val="FFFFFF"/>
                <w:sz w:val="20"/>
                <w:lang w:val="en-US" w:eastAsia="zh-CN"/>
              </w:rPr>
              <w:t>Initial peak m</w:t>
            </w:r>
          </w:p>
        </w:tc>
        <w:tc>
          <w:tcPr>
            <w:tcW w:type="dxa" w:w="3672"/>
            <w:vAlign w:val="center"/>
            <w:tcMar>
              <w:top w:w="65" w:type="dxa"/>
              <w:bottom w:w="65" w:type="dxa"/>
              <w:left w:w="95" w:type="dxa"/>
              <w:right w:w="95" w:type="dxa"/>
            </w:tcMar>
            <w:shd w:fill="31434A"/>
          </w:tcPr>
          <w:p>
            <w:pPr>
              <w:spacing w:after="0" w:line="300" w:lineRule="exact"/>
              <w:jc w:val="center"/>
            </w:pPr>
            <w:r>
              <w:rPr>
                <w:rFonts w:ascii="Aptos" w:hAnsi="Aptos" w:eastAsia="Microsoft YaHei"/>
                <w:b/>
                <w:color w:val="FFFFFF"/>
                <w:sz w:val="20"/>
                <w:lang w:val="en-US" w:eastAsia="zh-CN"/>
              </w:rPr>
              <w:t>Revised peak m</w:t>
            </w:r>
          </w:p>
        </w:tc>
      </w:tr>
      <w:tr>
        <w:trPr>
          <w:cantSplit/>
        </w:trPr>
        <w:tc>
          <w:tcPr>
            <w:tcW w:type="dxa" w:w="2160"/>
            <w:vAlign w:val="center"/>
            <w:tcMar>
              <w:top w:w="65" w:type="dxa"/>
              <w:bottom w:w="65" w:type="dxa"/>
              <w:left w:w="95" w:type="dxa"/>
              <w:right w:w="95" w:type="dxa"/>
            </w:tcMar>
            <w:shd w:fill="FFFFFF"/>
          </w:tcPr>
          <w:p>
            <w:pPr>
              <w:spacing w:after="0" w:line="300" w:lineRule="exact"/>
              <w:jc w:val="left"/>
            </w:pPr>
            <w:r>
              <w:rPr>
                <w:rFonts w:ascii="Aptos" w:hAnsi="Aptos" w:eastAsia="Microsoft YaHei"/>
                <w:b w:val="0"/>
                <w:color w:val="000000"/>
                <w:sz w:val="20"/>
                <w:lang w:val="en-US" w:eastAsia="zh-CN"/>
              </w:rPr>
              <w:t>I01</w:t>
            </w:r>
          </w:p>
        </w:tc>
        <w:tc>
          <w:tcPr>
            <w:tcW w:type="dxa" w:w="3672"/>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0.75</w:t>
            </w:r>
          </w:p>
        </w:tc>
        <w:tc>
          <w:tcPr>
            <w:tcW w:type="dxa" w:w="3672"/>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1.05</w:t>
            </w:r>
          </w:p>
        </w:tc>
      </w:tr>
      <w:tr>
        <w:trPr>
          <w:cantSplit/>
        </w:trPr>
        <w:tc>
          <w:tcPr>
            <w:tcW w:type="dxa" w:w="2160"/>
            <w:vAlign w:val="center"/>
            <w:tcMar>
              <w:top w:w="65" w:type="dxa"/>
              <w:bottom w:w="65" w:type="dxa"/>
              <w:left w:w="95" w:type="dxa"/>
              <w:right w:w="95" w:type="dxa"/>
            </w:tcMar>
            <w:shd w:fill="F3F5F4"/>
          </w:tcPr>
          <w:p>
            <w:pPr>
              <w:spacing w:after="0" w:line="300" w:lineRule="exact"/>
              <w:jc w:val="left"/>
            </w:pPr>
            <w:r>
              <w:rPr>
                <w:rFonts w:ascii="Aptos" w:hAnsi="Aptos" w:eastAsia="Microsoft YaHei"/>
                <w:b w:val="0"/>
                <w:color w:val="000000"/>
                <w:sz w:val="20"/>
                <w:lang w:val="en-US" w:eastAsia="zh-CN"/>
              </w:rPr>
              <w:t>I02</w:t>
            </w:r>
          </w:p>
        </w:tc>
        <w:tc>
          <w:tcPr>
            <w:tcW w:type="dxa" w:w="3672"/>
            <w:vAlign w:val="center"/>
            <w:tcMar>
              <w:top w:w="65" w:type="dxa"/>
              <w:bottom w:w="65" w:type="dxa"/>
              <w:left w:w="95" w:type="dxa"/>
              <w:right w:w="95" w:type="dxa"/>
            </w:tcMar>
            <w:shd w:fill="F3F5F4"/>
          </w:tcPr>
          <w:p>
            <w:pPr>
              <w:spacing w:after="0" w:line="300" w:lineRule="exact"/>
              <w:jc w:val="center"/>
            </w:pPr>
            <w:r>
              <w:rPr>
                <w:rFonts w:ascii="Aptos" w:hAnsi="Aptos" w:eastAsia="Microsoft YaHei"/>
                <w:b w:val="0"/>
                <w:color w:val="000000"/>
                <w:sz w:val="20"/>
                <w:lang w:val="en-US" w:eastAsia="zh-CN"/>
              </w:rPr>
              <w:t>1.12</w:t>
            </w:r>
          </w:p>
        </w:tc>
        <w:tc>
          <w:tcPr>
            <w:tcW w:type="dxa" w:w="3672"/>
            <w:vAlign w:val="center"/>
            <w:tcMar>
              <w:top w:w="65" w:type="dxa"/>
              <w:bottom w:w="65" w:type="dxa"/>
              <w:left w:w="95" w:type="dxa"/>
              <w:right w:w="95" w:type="dxa"/>
            </w:tcMar>
            <w:shd w:fill="F3F5F4"/>
          </w:tcPr>
          <w:p>
            <w:pPr>
              <w:spacing w:after="0" w:line="300" w:lineRule="exact"/>
              <w:jc w:val="center"/>
            </w:pPr>
            <w:r>
              <w:rPr>
                <w:rFonts w:ascii="Aptos" w:hAnsi="Aptos" w:eastAsia="Microsoft YaHei"/>
                <w:b w:val="0"/>
                <w:color w:val="000000"/>
                <w:sz w:val="20"/>
                <w:lang w:val="en-US" w:eastAsia="zh-CN"/>
              </w:rPr>
              <w:t>1.75</w:t>
            </w:r>
          </w:p>
        </w:tc>
      </w:tr>
      <w:tr>
        <w:trPr>
          <w:cantSplit/>
        </w:trPr>
        <w:tc>
          <w:tcPr>
            <w:tcW w:type="dxa" w:w="2160"/>
            <w:vAlign w:val="center"/>
            <w:tcMar>
              <w:top w:w="65" w:type="dxa"/>
              <w:bottom w:w="65" w:type="dxa"/>
              <w:left w:w="95" w:type="dxa"/>
              <w:right w:w="95" w:type="dxa"/>
            </w:tcMar>
            <w:shd w:fill="FFFFFF"/>
          </w:tcPr>
          <w:p>
            <w:pPr>
              <w:spacing w:after="0" w:line="300" w:lineRule="exact"/>
              <w:jc w:val="left"/>
            </w:pPr>
            <w:r>
              <w:rPr>
                <w:rFonts w:ascii="Aptos" w:hAnsi="Aptos" w:eastAsia="Microsoft YaHei"/>
                <w:b w:val="0"/>
                <w:color w:val="000000"/>
                <w:sz w:val="20"/>
                <w:lang w:val="en-US" w:eastAsia="zh-CN"/>
              </w:rPr>
              <w:t>I03</w:t>
            </w:r>
          </w:p>
        </w:tc>
        <w:tc>
          <w:tcPr>
            <w:tcW w:type="dxa" w:w="3672"/>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1.50</w:t>
            </w:r>
          </w:p>
        </w:tc>
        <w:tc>
          <w:tcPr>
            <w:tcW w:type="dxa" w:w="3672"/>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1.25</w:t>
            </w:r>
          </w:p>
        </w:tc>
      </w:tr>
      <w:tr>
        <w:trPr>
          <w:cantSplit/>
        </w:trPr>
        <w:tc>
          <w:tcPr>
            <w:tcW w:type="dxa" w:w="2160"/>
            <w:vAlign w:val="center"/>
            <w:tcMar>
              <w:top w:w="65" w:type="dxa"/>
              <w:bottom w:w="65" w:type="dxa"/>
              <w:left w:w="95" w:type="dxa"/>
              <w:right w:w="95" w:type="dxa"/>
            </w:tcMar>
            <w:shd w:fill="F3F5F4"/>
          </w:tcPr>
          <w:p>
            <w:pPr>
              <w:spacing w:after="0" w:line="300" w:lineRule="exact"/>
              <w:jc w:val="left"/>
            </w:pPr>
            <w:r>
              <w:rPr>
                <w:rFonts w:ascii="Aptos" w:hAnsi="Aptos" w:eastAsia="Microsoft YaHei"/>
                <w:b w:val="0"/>
                <w:color w:val="000000"/>
                <w:sz w:val="20"/>
                <w:lang w:val="en-US" w:eastAsia="zh-CN"/>
              </w:rPr>
              <w:t>I04</w:t>
            </w:r>
          </w:p>
        </w:tc>
        <w:tc>
          <w:tcPr>
            <w:tcW w:type="dxa" w:w="3672"/>
            <w:vAlign w:val="center"/>
            <w:tcMar>
              <w:top w:w="65" w:type="dxa"/>
              <w:bottom w:w="65" w:type="dxa"/>
              <w:left w:w="95" w:type="dxa"/>
              <w:right w:w="95" w:type="dxa"/>
            </w:tcMar>
            <w:shd w:fill="F3F5F4"/>
          </w:tcPr>
          <w:p>
            <w:pPr>
              <w:spacing w:after="0" w:line="300" w:lineRule="exact"/>
              <w:jc w:val="center"/>
            </w:pPr>
            <w:r>
              <w:rPr>
                <w:rFonts w:ascii="Aptos" w:hAnsi="Aptos" w:eastAsia="Microsoft YaHei"/>
                <w:b w:val="0"/>
                <w:color w:val="000000"/>
                <w:sz w:val="20"/>
                <w:lang w:val="en-US" w:eastAsia="zh-CN"/>
              </w:rPr>
              <w:t>0.62</w:t>
            </w:r>
          </w:p>
        </w:tc>
        <w:tc>
          <w:tcPr>
            <w:tcW w:type="dxa" w:w="3672"/>
            <w:vAlign w:val="center"/>
            <w:tcMar>
              <w:top w:w="65" w:type="dxa"/>
              <w:bottom w:w="65" w:type="dxa"/>
              <w:left w:w="95" w:type="dxa"/>
              <w:right w:w="95" w:type="dxa"/>
            </w:tcMar>
            <w:shd w:fill="F3F5F4"/>
          </w:tcPr>
          <w:p>
            <w:pPr>
              <w:spacing w:after="0" w:line="300" w:lineRule="exact"/>
              <w:jc w:val="center"/>
            </w:pPr>
            <w:r>
              <w:rPr>
                <w:rFonts w:ascii="Aptos" w:hAnsi="Aptos" w:eastAsia="Microsoft YaHei"/>
                <w:b w:val="0"/>
                <w:color w:val="000000"/>
                <w:sz w:val="20"/>
                <w:lang w:val="en-US" w:eastAsia="zh-CN"/>
              </w:rPr>
              <w:t>2.10</w:t>
            </w:r>
          </w:p>
        </w:tc>
      </w:tr>
      <w:tr>
        <w:trPr>
          <w:cantSplit/>
        </w:trPr>
        <w:tc>
          <w:tcPr>
            <w:tcW w:type="dxa" w:w="2160"/>
            <w:vAlign w:val="center"/>
            <w:tcMar>
              <w:top w:w="65" w:type="dxa"/>
              <w:bottom w:w="65" w:type="dxa"/>
              <w:left w:w="95" w:type="dxa"/>
              <w:right w:w="95" w:type="dxa"/>
            </w:tcMar>
            <w:shd w:fill="FFFFFF"/>
          </w:tcPr>
          <w:p>
            <w:pPr>
              <w:spacing w:after="0" w:line="300" w:lineRule="exact"/>
              <w:jc w:val="left"/>
            </w:pPr>
            <w:r>
              <w:rPr>
                <w:rFonts w:ascii="Aptos" w:hAnsi="Aptos" w:eastAsia="Microsoft YaHei"/>
                <w:b w:val="0"/>
                <w:color w:val="000000"/>
                <w:sz w:val="20"/>
                <w:lang w:val="en-US" w:eastAsia="zh-CN"/>
              </w:rPr>
              <w:t>I05</w:t>
            </w:r>
          </w:p>
        </w:tc>
        <w:tc>
          <w:tcPr>
            <w:tcW w:type="dxa" w:w="3672"/>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0.48</w:t>
            </w:r>
          </w:p>
        </w:tc>
        <w:tc>
          <w:tcPr>
            <w:tcW w:type="dxa" w:w="3672"/>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0.55</w:t>
            </w:r>
          </w:p>
        </w:tc>
      </w:tr>
      <w:tr>
        <w:trPr>
          <w:cantSplit/>
        </w:trPr>
        <w:tc>
          <w:tcPr>
            <w:tcW w:type="dxa" w:w="2160"/>
            <w:vAlign w:val="center"/>
            <w:tcMar>
              <w:top w:w="65" w:type="dxa"/>
              <w:bottom w:w="65" w:type="dxa"/>
              <w:left w:w="95" w:type="dxa"/>
              <w:right w:w="95" w:type="dxa"/>
            </w:tcMar>
            <w:shd w:fill="F3F5F4"/>
          </w:tcPr>
          <w:p>
            <w:pPr>
              <w:spacing w:after="0" w:line="300" w:lineRule="exact"/>
              <w:jc w:val="left"/>
            </w:pPr>
            <w:r>
              <w:rPr>
                <w:rFonts w:ascii="Aptos" w:hAnsi="Aptos" w:eastAsia="Microsoft YaHei"/>
                <w:b w:val="0"/>
                <w:color w:val="000000"/>
                <w:sz w:val="20"/>
                <w:lang w:val="en-US" w:eastAsia="zh-CN"/>
              </w:rPr>
              <w:t>I06</w:t>
            </w:r>
          </w:p>
        </w:tc>
        <w:tc>
          <w:tcPr>
            <w:tcW w:type="dxa" w:w="3672"/>
            <w:vAlign w:val="center"/>
            <w:tcMar>
              <w:top w:w="65" w:type="dxa"/>
              <w:bottom w:w="65" w:type="dxa"/>
              <w:left w:w="95" w:type="dxa"/>
              <w:right w:w="95" w:type="dxa"/>
            </w:tcMar>
            <w:shd w:fill="F3F5F4"/>
          </w:tcPr>
          <w:p>
            <w:pPr>
              <w:spacing w:after="0" w:line="300" w:lineRule="exact"/>
              <w:jc w:val="center"/>
            </w:pPr>
            <w:r>
              <w:rPr>
                <w:rFonts w:ascii="Aptos" w:hAnsi="Aptos" w:eastAsia="Microsoft YaHei"/>
                <w:b w:val="0"/>
                <w:color w:val="000000"/>
                <w:sz w:val="20"/>
                <w:lang w:val="en-US" w:eastAsia="zh-CN"/>
              </w:rPr>
              <w:t>1.35</w:t>
            </w:r>
          </w:p>
        </w:tc>
        <w:tc>
          <w:tcPr>
            <w:tcW w:type="dxa" w:w="3672"/>
            <w:vAlign w:val="center"/>
            <w:tcMar>
              <w:top w:w="65" w:type="dxa"/>
              <w:bottom w:w="65" w:type="dxa"/>
              <w:left w:w="95" w:type="dxa"/>
              <w:right w:w="95" w:type="dxa"/>
            </w:tcMar>
            <w:shd w:fill="F3F5F4"/>
          </w:tcPr>
          <w:p>
            <w:pPr>
              <w:spacing w:after="0" w:line="300" w:lineRule="exact"/>
              <w:jc w:val="center"/>
            </w:pPr>
            <w:r>
              <w:rPr>
                <w:rFonts w:ascii="Aptos" w:hAnsi="Aptos" w:eastAsia="Microsoft YaHei"/>
                <w:b w:val="0"/>
                <w:color w:val="000000"/>
                <w:sz w:val="20"/>
                <w:lang w:val="en-US" w:eastAsia="zh-CN"/>
              </w:rPr>
              <w:t>1.95</w:t>
            </w:r>
          </w:p>
        </w:tc>
      </w:tr>
      <w:tr>
        <w:trPr>
          <w:cantSplit/>
        </w:trPr>
        <w:tc>
          <w:tcPr>
            <w:tcW w:type="dxa" w:w="2160"/>
            <w:vAlign w:val="center"/>
            <w:tcMar>
              <w:top w:w="65" w:type="dxa"/>
              <w:bottom w:w="65" w:type="dxa"/>
              <w:left w:w="95" w:type="dxa"/>
              <w:right w:w="95" w:type="dxa"/>
            </w:tcMar>
            <w:shd w:fill="FFFFFF"/>
          </w:tcPr>
          <w:p>
            <w:pPr>
              <w:spacing w:after="0" w:line="300" w:lineRule="exact"/>
              <w:jc w:val="left"/>
            </w:pPr>
            <w:r>
              <w:rPr>
                <w:rFonts w:ascii="Aptos" w:hAnsi="Aptos" w:eastAsia="Microsoft YaHei"/>
                <w:b w:val="0"/>
                <w:color w:val="000000"/>
                <w:sz w:val="20"/>
                <w:lang w:val="en-US" w:eastAsia="zh-CN"/>
              </w:rPr>
              <w:t>I07</w:t>
            </w:r>
          </w:p>
        </w:tc>
        <w:tc>
          <w:tcPr>
            <w:tcW w:type="dxa" w:w="3672"/>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0.90</w:t>
            </w:r>
          </w:p>
        </w:tc>
        <w:tc>
          <w:tcPr>
            <w:tcW w:type="dxa" w:w="3672"/>
            <w:vAlign w:val="center"/>
            <w:tcMar>
              <w:top w:w="65" w:type="dxa"/>
              <w:bottom w:w="65" w:type="dxa"/>
              <w:left w:w="95" w:type="dxa"/>
              <w:right w:w="95" w:type="dxa"/>
            </w:tcMar>
            <w:shd w:fill="FFFFFF"/>
          </w:tcPr>
          <w:p>
            <w:pPr>
              <w:spacing w:after="0" w:line="300" w:lineRule="exact"/>
              <w:jc w:val="center"/>
            </w:pPr>
            <w:r>
              <w:rPr>
                <w:rFonts w:ascii="Aptos" w:hAnsi="Aptos" w:eastAsia="Microsoft YaHei"/>
                <w:b w:val="0"/>
                <w:color w:val="000000"/>
                <w:sz w:val="20"/>
                <w:lang w:val="en-US" w:eastAsia="zh-CN"/>
              </w:rPr>
              <w:t>0.85</w:t>
            </w:r>
          </w:p>
        </w:tc>
      </w:tr>
      <w:tr>
        <w:trPr>
          <w:cantSplit/>
        </w:trPr>
        <w:tc>
          <w:tcPr>
            <w:tcW w:type="dxa" w:w="2160"/>
            <w:vAlign w:val="center"/>
            <w:tcMar>
              <w:top w:w="65" w:type="dxa"/>
              <w:bottom w:w="65" w:type="dxa"/>
              <w:left w:w="95" w:type="dxa"/>
              <w:right w:w="95" w:type="dxa"/>
            </w:tcMar>
            <w:shd w:fill="F3F5F4"/>
          </w:tcPr>
          <w:p>
            <w:pPr>
              <w:spacing w:after="0" w:line="300" w:lineRule="exact"/>
              <w:jc w:val="left"/>
            </w:pPr>
            <w:r>
              <w:rPr>
                <w:rFonts w:ascii="Aptos" w:hAnsi="Aptos" w:eastAsia="Microsoft YaHei"/>
                <w:b w:val="0"/>
                <w:color w:val="000000"/>
                <w:sz w:val="20"/>
                <w:lang w:val="en-US" w:eastAsia="zh-CN"/>
              </w:rPr>
              <w:t>I08</w:t>
            </w:r>
          </w:p>
        </w:tc>
        <w:tc>
          <w:tcPr>
            <w:tcW w:type="dxa" w:w="3672"/>
            <w:vAlign w:val="center"/>
            <w:tcMar>
              <w:top w:w="65" w:type="dxa"/>
              <w:bottom w:w="65" w:type="dxa"/>
              <w:left w:w="95" w:type="dxa"/>
              <w:right w:w="95" w:type="dxa"/>
            </w:tcMar>
            <w:shd w:fill="F3F5F4"/>
          </w:tcPr>
          <w:p>
            <w:pPr>
              <w:spacing w:after="0" w:line="300" w:lineRule="exact"/>
              <w:jc w:val="center"/>
            </w:pPr>
            <w:r>
              <w:rPr>
                <w:rFonts w:ascii="Aptos" w:hAnsi="Aptos" w:eastAsia="Microsoft YaHei"/>
                <w:b w:val="0"/>
                <w:color w:val="000000"/>
                <w:sz w:val="20"/>
                <w:lang w:val="en-US" w:eastAsia="zh-CN"/>
              </w:rPr>
              <w:t>1.18</w:t>
            </w:r>
          </w:p>
        </w:tc>
        <w:tc>
          <w:tcPr>
            <w:tcW w:type="dxa" w:w="3672"/>
            <w:vAlign w:val="center"/>
            <w:tcMar>
              <w:top w:w="65" w:type="dxa"/>
              <w:bottom w:w="65" w:type="dxa"/>
              <w:left w:w="95" w:type="dxa"/>
              <w:right w:w="95" w:type="dxa"/>
            </w:tcMar>
            <w:shd w:fill="F3F5F4"/>
          </w:tcPr>
          <w:p>
            <w:pPr>
              <w:spacing w:after="0" w:line="300" w:lineRule="exact"/>
              <w:jc w:val="center"/>
            </w:pPr>
            <w:r>
              <w:rPr>
                <w:rFonts w:ascii="Aptos" w:hAnsi="Aptos" w:eastAsia="Microsoft YaHei"/>
                <w:b w:val="0"/>
                <w:color w:val="000000"/>
                <w:sz w:val="20"/>
                <w:lang w:val="en-US" w:eastAsia="zh-CN"/>
              </w:rPr>
              <w:t>1.50</w:t>
            </w:r>
          </w:p>
        </w:tc>
      </w:tr>
    </w:tbl>
    <w:p>
      <w:pPr>
        <w:spacing w:after="0" w:line="80" w:lineRule="exact"/>
      </w:pPr>
      <w:r/>
    </w:p>
    <w:p>
      <w:pPr>
        <w:keepNext/>
        <w:spacing w:line="240" w:lineRule="auto" w:after="80"/>
        <w:jc w:val="center"/>
      </w:pPr>
      <w:r>
        <w:drawing>
          <wp:inline xmlns:a="http://schemas.openxmlformats.org/drawingml/2006/main" xmlns:pic="http://schemas.openxmlformats.org/drawingml/2006/picture">
            <wp:extent cx="4937760" cy="3497580"/>
            <wp:docPr id="5" name="Picture 5" descr="Rhino garden view with white contours showing varied island heights, inclined gray retaining walls, and warm colored edge seating."/>
            <wp:cNvGraphicFramePr>
              <a:graphicFrameLocks noChangeAspect="1"/>
            </wp:cNvGraphicFramePr>
            <a:graphic>
              <a:graphicData uri="http://schemas.openxmlformats.org/drawingml/2006/picture">
                <pic:pic>
                  <pic:nvPicPr>
                    <pic:cNvPr id="0" name="rhino-nurbs-contours.png"/>
                    <pic:cNvPicPr/>
                  </pic:nvPicPr>
                  <pic:blipFill>
                    <a:blip r:embed="rId14"/>
                    <a:stretch>
                      <a:fillRect/>
                    </a:stretch>
                  </pic:blipFill>
                  <pic:spPr>
                    <a:xfrm>
                      <a:off x="0" y="0"/>
                      <a:ext cx="4937760" cy="3497580"/>
                    </a:xfrm>
                    <a:prstGeom prst="rect"/>
                  </pic:spPr>
                </pic:pic>
              </a:graphicData>
            </a:graphic>
          </wp:inline>
        </w:drawing>
      </w:r>
    </w:p>
    <w:p>
      <w:pPr>
        <w:pStyle w:val="Caption"/>
      </w:pPr>
      <w:r>
        <w:t>Figure 5. A Rhino check view with 24 NURBS contours at 0.5 m intervals. Their layer can be toggled, and each curve remains separately editable.</w:t>
      </w:r>
    </w:p>
    <w:p>
      <w:r>
        <w:t>A separate check confirmed 8 cubic NURBS main surfaces, 8 closed wall segments, 8 closed soil reference volumes, and 24 NURBS contour curves. The active terrain no longer contained mesh objects.</w:t>
      </w:r>
    </w:p>
    <w:p>
      <w:r>
        <w:t>Geometry checksum comparisons confirmed that 36 paving, boundary, seating, and guide objects were unchanged. Tree-base ray checks had a model-internal error below 0.01 mm. Earlier terrain meshes were retained on hidden backup layers for comparison.</w:t>
      </w:r>
    </w:p>
    <w:p>
      <w:r>
        <w:br w:type="page"/>
      </w:r>
    </w:p>
    <w:p>
      <w:pPr>
        <w:pStyle w:val="Heading1"/>
      </w:pPr>
      <w:r>
        <w:rPr>
          <w:rFonts w:ascii="Aptos" w:hAnsi="Aptos" w:eastAsia="Microsoft YaHei"/>
          <w:color w:val="000000"/>
          <w:lang w:val="en-US" w:eastAsia="zh-CN"/>
        </w:rPr>
        <w:t>Use the model to guide the next design decision</w:t>
      </w:r>
    </w:p>
    <w:p>
      <w:pPr>
        <w:pStyle w:val="Heading2"/>
      </w:pPr>
      <w:r>
        <w:rPr>
          <w:rFonts w:ascii="Aptos" w:hAnsi="Aptos" w:eastAsia="Microsoft YaHei"/>
          <w:color w:val="000000"/>
          <w:lang w:val="en-US" w:eastAsia="zh-CN"/>
        </w:rPr>
        <w:t>What the AI rendering adds</w:t>
      </w:r>
    </w:p>
    <w:p>
      <w:r>
        <w:t>The author produced the opening image separately with AI after Rhino modeling. It adds planting layers, material detail, people, and a street setting. This rendering time is excluded from the recorded Codex runtime.</w:t>
      </w:r>
    </w:p>
    <w:p>
      <w:r>
        <w:t>Flower borders, individual masonry blocks, and surrounding buildings in the image do not all come from modeled Rhino geometry. Use the model and its checks when discussing dimensions or construction; use the image to discuss the garden experience.</w:t>
      </w:r>
    </w:p>
    <w:p>
      <w:pPr>
        <w:pStyle w:val="Heading2"/>
      </w:pPr>
      <w:r>
        <w:rPr>
          <w:rFonts w:ascii="Aptos" w:hAnsi="Aptos" w:eastAsia="Microsoft YaHei"/>
          <w:color w:val="000000"/>
          <w:lang w:val="en-US" w:eastAsia="zh-CN"/>
        </w:rPr>
        <w:t>Write requirements that can be checked</w:t>
      </w:r>
    </w:p>
    <w:p>
      <w:r>
        <w:t>The useful instructions connected design intent to object relationships: keep the main route continuous, return seat ends to path level, and place trunks on actual terrain. Natural variation was expressed through curved outlines, offset peaks, and grouped planting.</w:t>
      </w:r>
    </w:p>
    <w:p>
      <w:r>
        <w:t>For another project, replace the dimensions and parameters in the structure below. Advance one defined set of changes per turn, save the previous version, and inspect the geometry before continuing.</w:t>
      </w:r>
    </w:p>
    <w:p>
      <w:r>
        <w:rPr>
          <w:b/>
        </w:rPr>
        <w:t>A reusable task structure</w:t>
      </w:r>
    </w:p>
    <w:p>
      <w:pPr>
        <w:pStyle w:val="Prompt"/>
      </w:pPr>
      <w:r>
        <w:t>Read the active Rhino document and confirm units, objects, and layers.</w:t>
        <w:br/>
        <w:t>Build a continuous main route and planting islands, then check plan clearances.</w:t>
        <w:br/>
        <w:t>Create editable paving and terrain; centralize widths, heights, tree count, and random seed.</w:t>
        <w:br/>
        <w:t>Use tree block instances and place their bases on the actual terrain.</w:t>
        <w:br/>
        <w:t>For revisions, read existing boundaries and IDs, preserving paths and seats that should carry forward.</w:t>
        <w:br/>
        <w:t>Check boundaries, validity, relationships, and screenshots. Save a new model version and its script.</w:t>
      </w:r>
    </w:p>
    <w:p>
      <w:pPr>
        <w:pStyle w:val="Heading2"/>
      </w:pPr>
      <w:r>
        <w:rPr>
          <w:rFonts w:ascii="Aptos" w:hAnsi="Aptos" w:eastAsia="Microsoft YaHei"/>
          <w:color w:val="000000"/>
          <w:lang w:val="en-US" w:eastAsia="zh-CN"/>
        </w:rPr>
        <w:t>Keep room for design development</w:t>
      </w:r>
    </w:p>
    <w:p>
      <w:r>
        <w:t>The approximately 60 minutes includes debugging and checks across four active turns. The 117 Rhino MCP calls totaled about 118 seconds. Interface execution time and a complete design iteration measure different work; this case does not establish a speedup over manual modeling.</w:t>
      </w:r>
    </w:p>
    <w:p>
      <w:r>
        <w:t>Trees remain concept-level prototypes. Paving joints, seat details, drainage, and wall construction need further development. Internal C2 continuity of a terrain surface does not establish matching curvature across every separate adjoining component.</w:t>
      </w:r>
    </w:p>
    <w:p>
      <w:r>
        <w:t>The reusable results are the model, parameter scripts, layers, island and tree IDs, and check records. Together, they let the next revision build on the existing design with a record of what changed.</w:t>
      </w:r>
    </w:p>
    <w:p>
      <w:pPr>
        <w:pStyle w:val="Heading2"/>
      </w:pPr>
      <w:r>
        <w:rPr>
          <w:rFonts w:ascii="Aptos" w:hAnsi="Aptos" w:eastAsia="Microsoft YaHei"/>
          <w:color w:val="000000"/>
          <w:lang w:val="en-US" w:eastAsia="zh-CN"/>
        </w:rPr>
        <w:t>Technical references</w:t>
      </w:r>
    </w:p>
    <w:p>
      <w:pPr>
        <w:spacing w:after="80"/>
      </w:pPr>
      <w:r/>
      <w:hyperlink r:id="rId15">
        <w:r>
          <w:rPr>
            <w:color w:val="36566F"/>
            <w:sz w:val="20"/>
          </w:rPr>
          <w:t>[1] OpenAI Model Context Protocol</w:t>
        </w:r>
      </w:hyperlink>
    </w:p>
    <w:p>
      <w:pPr>
        <w:spacing w:after="80"/>
      </w:pPr>
      <w:r/>
      <w:hyperlink r:id="rId16">
        <w:r>
          <w:rPr>
            <w:color w:val="36566F"/>
            <w:sz w:val="20"/>
          </w:rPr>
          <w:t>[2] MCP Architecture overview</w:t>
        </w:r>
      </w:hyperlink>
    </w:p>
    <w:p>
      <w:pPr>
        <w:spacing w:after="80"/>
      </w:pPr>
      <w:r/>
      <w:hyperlink r:id="rId17">
        <w:r>
          <w:rPr>
            <w:color w:val="36566F"/>
            <w:sz w:val="20"/>
          </w:rPr>
          <w:t>[3] McNeel Parametric Curves and Surfaces</w:t>
        </w:r>
      </w:hyperlink>
    </w:p>
    <w:p>
      <w:r>
        <w:br w:type="page"/>
      </w:r>
    </w:p>
    <w:p>
      <w:pPr>
        <w:pStyle w:val="Heading1"/>
      </w:pPr>
      <w:r>
        <w:rPr>
          <w:rFonts w:ascii="Aptos" w:hAnsi="Aptos" w:eastAsia="Microsoft YaHei"/>
          <w:color w:val="000000"/>
          <w:lang w:val="en-US" w:eastAsia="zh-CN"/>
        </w:rPr>
        <w:t>Appendix Website publication details</w:t>
      </w:r>
    </w:p>
    <w:p>
      <w:r>
        <w:rPr>
          <w:b/>
        </w:rPr>
        <w:t>Article title</w:t>
      </w:r>
    </w:p>
    <w:p>
      <w:r>
        <w:t>Building an Editable Landscape Model with Codex and Rhino MCP</w:t>
      </w:r>
    </w:p>
    <w:p>
      <w:r>
        <w:rPr>
          <w:b/>
        </w:rPr>
        <w:t>Suggested summary</w:t>
      </w:r>
    </w:p>
    <w:p>
      <w:r>
        <w:t>Follow a 40 × 80 m garden from a visual brief to an editable Rhino model, with flowing paths, planted landforms, undulating seating, and inclined retaining walls. The case includes recorded Codex runtimes, model checks, and a separate AI rendering.</w:t>
      </w:r>
    </w:p>
    <w:p>
      <w:r>
        <w:rPr>
          <w:b/>
        </w:rPr>
        <w:t>Suggested URL and topics</w:t>
      </w:r>
    </w:p>
    <w:p>
      <w:r>
        <w:t>Slug  rhino-mcp-landscape-modeling</w:t>
        <w:br/>
        <w:t>Topics  Landscape modeling  Rhino  Codex  MCP  NURBS  Design iteration</w:t>
      </w:r>
    </w:p>
    <w:p>
      <w:r>
        <w:rPr>
          <w:b/>
        </w:rPr>
        <w:t>Images and accessibility</w:t>
      </w:r>
    </w:p>
    <w:p>
      <w:r>
        <w:t>Use Figure 1 as the cover, labeled as the author’s separate AI rendering. Label Figures 2–5 as Rhino model screenshots. Keep the captions and allow images to open at full size on mobile. English alternative text is embedded in the Word image properties.</w:t>
      </w:r>
    </w:p>
    <w:p>
      <w:r>
        <w:t>Image files are in the adjacent assets folder: final-ai-render.png, rhino-initial-model.png, rhino-edge-seating.png, rhino-inclined-wall.png, and rhino-nurbs-contours.png.</w:t>
      </w:r>
    </w:p>
    <w:p>
      <w:r>
        <w:rPr>
          <w:b/>
        </w:rPr>
        <w:t>Runtime evidence</w:t>
      </w:r>
    </w:p>
    <w:p>
      <w:r>
        <w:t>Full-turn runtimes come from durationMs for the four completed turns in this Codex chat. MCP totals sum mcpToolCall.durationMs for the rhino server. Raw turn durations were 19,166; 1,026,620; 721,236; and 1,830,735 ms, totaling 3,597,757 ms. MCP duration totaled 118,472 ms across 117 calls. Turn times are shown to the nearest second, and MCP seconds to two decimal places, with totals calculated before rounding.</w:t>
      </w:r>
    </w:p>
    <w:p>
      <w:r>
        <w:t>The four recorded turns group several modeling actions. Separate timestamps were not recorded for each internal plan, terrain, planting, or view phase, so no estimated substep times are assigned. The step briefs in the article are English summaries of the original Chinese instructions.</w:t>
      </w:r>
    </w:p>
    <w:p>
      <w:r>
        <w:rPr>
          <w:b/>
        </w:rPr>
        <w:t>Model evidence</w:t>
      </w:r>
    </w:p>
    <w:p>
      <w:r>
        <w:t>Counts and dimensions come from the initial garden, seating, and NURBS manifests and their saved scripts: garden_demo.py, edge_seating.py, and terrain_nurbs.py. AI-rendered detail is not used as geometry evidence.</w:t>
      </w:r>
    </w:p>
    <w:p>
      <w:r>
        <w:rPr>
          <w:b/>
        </w:rPr>
        <w:t>Saved model versions</w:t>
      </w:r>
    </w:p>
    <w:p>
      <w:r>
        <w:t>GardenDemo.3dm</w:t>
        <w:br/>
        <w:t>GardenDemo_Seating.3dm</w:t>
        <w:br/>
        <w:t>GardenDemo_NURBS_Terrain.3dm</w:t>
      </w:r>
    </w:p>
    <w:sectPr w:rsidR="00FC693F" w:rsidRPr="0006063C" w:rsidSect="00034616">
      <w:footerReference w:type="default" r:id="rId9"/>
      <w:pgSz w:w="11905" w:h="16838"/>
      <w:pgMar w:top="965" w:right="1123" w:bottom="936" w:left="1123" w:header="403"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eastAsia="Microsoft YaHei"/>
        <w:color w:val="000000"/>
        <w:sz w:val="18"/>
        <w:lang w:val="en-US" w:eastAsia="zh-CN"/>
      </w:rPr>
      <w:t xml:space="preserve">AI4LA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40" w:lineRule="exact" w:after="120"/>
      <w:widowControl/>
      <w:kinsoku w:val="1"/>
    </w:pPr>
    <w:rPr>
      <w:rFonts w:ascii="Aptos" w:hAnsi="Aptos" w:eastAsia="Microsoft YaHei"/>
      <w:color w:val="000000"/>
      <w:sz w:val="22"/>
      <w:lang w:val="en-US" w:eastAsia="zh-CN"/>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Aptos" w:hAnsi="Aptos" w:eastAsia="Microsoft YaHei"/>
      <w:color w:val="000000"/>
      <w:sz w:val="22"/>
      <w:lang w:val="en-US" w:eastAsia="zh-CN"/>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60" w:line="479" w:lineRule="exact"/>
      <w:outlineLvl w:val="0"/>
    </w:pPr>
    <w:rPr>
      <w:rFonts w:ascii="Aptos" w:hAnsi="Aptos" w:eastAsia="Microsoft YaHei"/>
      <w:b/>
      <w:bCs/>
      <w:color w:val="000000"/>
      <w:sz w:val="36"/>
      <w:szCs w:val="28"/>
      <w:lang w:val="en-US" w:eastAsia="zh-CN"/>
    </w:rPr>
  </w:style>
  <w:style w:type="paragraph" w:styleId="Heading2">
    <w:name w:val="heading 2"/>
    <w:basedOn w:val="Normal"/>
    <w:next w:val="Normal"/>
    <w:link w:val="Heading2Char"/>
    <w:uiPriority w:val="9"/>
    <w:unhideWhenUsed/>
    <w:qFormat/>
    <w:rsid w:val="00FC693F"/>
    <w:pPr>
      <w:keepNext/>
      <w:keepLines/>
      <w:spacing w:before="200" w:after="160" w:line="332" w:lineRule="exact"/>
      <w:outlineLvl w:val="1"/>
    </w:pPr>
    <w:rPr>
      <w:rFonts w:ascii="Aptos" w:hAnsi="Aptos" w:eastAsia="Microsoft YaHei"/>
      <w:b/>
      <w:bCs/>
      <w:color w:val="000000"/>
      <w:sz w:val="25"/>
      <w:szCs w:val="26"/>
      <w:lang w:val="en-US" w:eastAsia="zh-CN"/>
    </w:rPr>
  </w:style>
  <w:style w:type="paragraph" w:styleId="Heading3">
    <w:name w:val="heading 3"/>
    <w:basedOn w:val="Normal"/>
    <w:next w:val="Normal"/>
    <w:link w:val="Heading3Char"/>
    <w:uiPriority w:val="9"/>
    <w:unhideWhenUsed/>
    <w:qFormat/>
    <w:rsid w:val="00FC693F"/>
    <w:pPr>
      <w:keepNext/>
      <w:keepLines/>
      <w:spacing w:before="200" w:after="160" w:line="306" w:lineRule="exact"/>
      <w:outlineLvl w:val="2"/>
    </w:pPr>
    <w:rPr>
      <w:rFonts w:ascii="Aptos" w:hAnsi="Aptos" w:eastAsia="Microsoft YaHei"/>
      <w:b/>
      <w:bCs/>
      <w:color w:val="000000"/>
      <w:sz w:val="23"/>
      <w:lang w:val="en-US" w:eastAsia="zh-CN"/>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160" w:line="665" w:lineRule="exact" w:before="0"/>
      <w:contextualSpacing/>
    </w:pPr>
    <w:rPr>
      <w:rFonts w:ascii="Aptos" w:hAnsi="Aptos" w:eastAsia="Microsoft YaHei"/>
      <w:b/>
      <w:color w:val="000000"/>
      <w:spacing w:val="5"/>
      <w:kern w:val="28"/>
      <w:sz w:val="50"/>
      <w:szCs w:val="52"/>
      <w:lang w:val="en-US" w:eastAsia="zh-CN"/>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before="200" w:after="160" w:line="306" w:lineRule="exact"/>
    </w:pPr>
    <w:rPr>
      <w:rFonts w:ascii="Aptos" w:hAnsi="Aptos" w:eastAsia="Microsoft YaHei"/>
      <w:b w:val="0"/>
      <w:i/>
      <w:iCs/>
      <w:color w:val="000000"/>
      <w:spacing w:val="15"/>
      <w:sz w:val="23"/>
      <w:szCs w:val="24"/>
      <w:lang w:val="en-US" w:eastAsia="zh-CN"/>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kinsoku w:val="1"/>
    </w:pPr>
    <w:rPr>
      <w:rFonts w:ascii="Aptos" w:hAnsi="Aptos" w:eastAsia="Microsoft YaHei"/>
      <w:color w:val="000000"/>
      <w:sz w:val="22"/>
      <w:lang w:val="en-US" w:eastAsia="zh-CN"/>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Aptos" w:hAnsi="Aptos" w:eastAsia="Microsoft YaHei"/>
      <w:color w:val="000000"/>
      <w:sz w:val="22"/>
      <w:lang w:val="en-US" w:eastAsia="zh-CN"/>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widowControl/>
      <w:spacing w:line="280" w:lineRule="exact" w:after="180"/>
    </w:pPr>
    <w:rPr>
      <w:rFonts w:ascii="Aptos" w:hAnsi="Aptos" w:eastAsia="Microsoft YaHei"/>
      <w:b w:val="0"/>
      <w:bCs/>
      <w:color w:val="404040"/>
      <w:sz w:val="19"/>
      <w:szCs w:val="18"/>
      <w:lang w:val="en-US" w:eastAsia="zh-CN"/>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rompt">
    <w:name w:val="Prompt"/>
    <w:basedOn w:val="Normal"/>
    <w:pPr>
      <w:widowControl/>
      <w:spacing w:line="320" w:lineRule="exact" w:after="140"/>
      <w:ind w:left="173"/>
    </w:pPr>
    <w:rPr>
      <w:rFonts w:ascii="Aptos" w:hAnsi="Aptos" w:eastAsia="Microsoft YaHei"/>
      <w:color w:val="000000"/>
      <w:sz w:val="21"/>
      <w:lang w:val="en-US"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hyperlink" Target="https://learn.chatgpt.com/docs/extend/mcp?surface=cli" TargetMode="External"/><Relationship Id="rId16" Type="http://schemas.openxmlformats.org/officeDocument/2006/relationships/hyperlink" Target="https://modelcontextprotocol.io/docs/2026-07-28/learn/architecture" TargetMode="External"/><Relationship Id="rId17" Type="http://schemas.openxmlformats.org/officeDocument/2006/relationships/hyperlink" Target="https://developer.rhino3d.com/en/guides/general/essential-mathematics/parametric-curves-surfa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an Editable Landscape Model with Codex and Rhino MCP</dc:title>
  <dc:subject>AI4LA landscape modeling case study with recorded Codex runtimes</dc:subject>
  <dc:creator>AI4LA</dc:creator>
  <cp:keywords>Rhino, MCP, Codex, NURBS, landscape modeling</cp:keywords>
  <dc:description/>
  <cp:lastModifiedBy/>
  <cp:revision>1</cp:revision>
  <dcterms:created xsi:type="dcterms:W3CDTF">2013-12-23T23:15:00Z</dcterms:created>
  <dcterms:modified xsi:type="dcterms:W3CDTF">2013-12-23T23:15:00Z</dcterms:modified>
  <cp:category/>
</cp:coreProperties>
</file>